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A3" w:rsidRPr="007E52A7" w:rsidRDefault="00E171A3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7E52A7" w:rsidRDefault="0030585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proofErr w:type="spellEnd"/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сельского поселения 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Сторожевско-Хуторской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7E52A7" w:rsidRDefault="0030585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171A3" w:rsidRPr="007E52A7" w:rsidRDefault="00305852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46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</w:p>
    <w:p w:rsidR="00E171A3" w:rsidRPr="007E52A7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Сторожевские</w:t>
      </w:r>
      <w:proofErr w:type="spellEnd"/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Хутора</w:t>
      </w:r>
    </w:p>
    <w:p w:rsidR="00E171A3" w:rsidRPr="007E52A7" w:rsidRDefault="00305852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«21» июня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E5D1F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 46/87</w:t>
      </w: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принятии Изменений в Устав сельского поселения </w:t>
      </w:r>
      <w:r w:rsidR="0030585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Сторожевско-Хуторской сельсовет Усманского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>ав сельского поселения Сторожевско-Хуторской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Усманского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поселения   Сторожевско-Хуторской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7E52A7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7E52A7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Принять Изменения в Устав сельского поселения 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Сторожевско-Хуторской сельсовет 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</w:t>
      </w:r>
      <w:r w:rsidR="0030585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Сторожевско-Хуторской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Главе сельского поселения 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Сторожевско-Хуторской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 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>Сторожевско-Хуторской сельсовет 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7E52A7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Сторожевско-Хуторской сельсовет </w:t>
      </w:r>
      <w:proofErr w:type="gramStart"/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Усманского 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</w:t>
      </w:r>
      <w:proofErr w:type="gramEnd"/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обнародовать Изменения в Уста</w:t>
      </w:r>
      <w:r w:rsidR="00571B2A">
        <w:rPr>
          <w:rFonts w:ascii="Times New Roman" w:eastAsia="Times New Roman" w:hAnsi="Times New Roman" w:cs="Times New Roman"/>
          <w:color w:val="auto"/>
          <w:sz w:val="28"/>
          <w:szCs w:val="28"/>
        </w:rPr>
        <w:t>в сельского поселения Сторожевско-Хуторской сельсовет Усманского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</w:t>
      </w:r>
      <w:r w:rsidR="000132B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7E52A7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7E52A7" w:rsidRDefault="00571B2A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 Сторожевско-Хуторской</w:t>
      </w:r>
      <w:r w:rsidR="00E171A3"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Pr="007E52A7" w:rsidRDefault="00571B2A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7E52A7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7E52A7">
        <w:rPr>
          <w:color w:val="auto"/>
          <w:sz w:val="28"/>
          <w:szCs w:val="28"/>
        </w:rPr>
        <w:t xml:space="preserve">        </w:t>
      </w:r>
      <w:r>
        <w:rPr>
          <w:b w:val="0"/>
          <w:bCs w:val="0"/>
          <w:color w:val="auto"/>
          <w:spacing w:val="0"/>
          <w:sz w:val="28"/>
          <w:szCs w:val="28"/>
        </w:rPr>
        <w:t>Е.В. Коровина</w:t>
      </w:r>
    </w:p>
    <w:p w:rsidR="00E171A3" w:rsidRPr="007E52A7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r w:rsidRPr="007E52A7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 w:rsidRPr="007E52A7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 w:rsidRPr="007E52A7">
        <w:rPr>
          <w:b w:val="0"/>
          <w:bCs w:val="0"/>
          <w:color w:val="auto"/>
          <w:spacing w:val="0"/>
          <w:sz w:val="28"/>
          <w:szCs w:val="28"/>
        </w:rPr>
        <w:t>(подпись)</w:t>
      </w:r>
    </w:p>
    <w:p w:rsidR="00551EA9" w:rsidRPr="003C3358" w:rsidRDefault="00551EA9" w:rsidP="00571B2A">
      <w:pPr>
        <w:pStyle w:val="11"/>
        <w:shd w:val="clear" w:color="auto" w:fill="auto"/>
        <w:spacing w:before="0" w:line="240" w:lineRule="auto"/>
        <w:ind w:firstLine="0"/>
        <w:rPr>
          <w:caps/>
          <w:color w:val="auto"/>
          <w:sz w:val="28"/>
          <w:szCs w:val="28"/>
        </w:rPr>
      </w:pPr>
      <w:r w:rsidRPr="003C3358">
        <w:rPr>
          <w:caps/>
          <w:color w:val="auto"/>
          <w:sz w:val="28"/>
          <w:szCs w:val="28"/>
        </w:rPr>
        <w:t xml:space="preserve">М.П. 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lastRenderedPageBreak/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 Устав сельского по</w:t>
      </w:r>
      <w:r w:rsidR="00571B2A">
        <w:rPr>
          <w:color w:val="auto"/>
          <w:sz w:val="28"/>
          <w:szCs w:val="28"/>
        </w:rPr>
        <w:t xml:space="preserve">селения Сторожевско-Хуторской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571B2A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Приняты Советом депутатов сельского поселения</w:t>
      </w:r>
    </w:p>
    <w:p w:rsidR="00553ACB" w:rsidRPr="007E52A7" w:rsidRDefault="00FF186E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Сторожевско-Хуторской сельсовет Усманского </w:t>
      </w:r>
      <w:r w:rsidR="004D684D" w:rsidRPr="007E52A7">
        <w:rPr>
          <w:color w:val="auto"/>
          <w:sz w:val="28"/>
          <w:szCs w:val="28"/>
        </w:rPr>
        <w:t>муниципального</w:t>
      </w:r>
    </w:p>
    <w:p w:rsidR="00D85081" w:rsidRPr="007E52A7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района Липецкой области Российской Федерации</w:t>
      </w:r>
    </w:p>
    <w:p w:rsidR="00553ACB" w:rsidRPr="007E52A7" w:rsidRDefault="00CF3504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решение от 21.06.2023 г.№ 46/87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>ти в Устав сельского поселения</w:t>
      </w:r>
      <w:r w:rsidR="00CF3504">
        <w:rPr>
          <w:color w:val="auto"/>
          <w:sz w:val="28"/>
          <w:szCs w:val="28"/>
        </w:rPr>
        <w:t xml:space="preserve"> Сторожевско-Хуторской </w:t>
      </w:r>
      <w:r w:rsidRPr="007E52A7">
        <w:rPr>
          <w:color w:val="auto"/>
          <w:sz w:val="28"/>
          <w:szCs w:val="28"/>
        </w:rPr>
        <w:t>сельсовет</w:t>
      </w:r>
      <w:r w:rsidR="00CF3504">
        <w:rPr>
          <w:color w:val="auto"/>
          <w:sz w:val="28"/>
          <w:szCs w:val="28"/>
        </w:rPr>
        <w:t xml:space="preserve"> 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CF3504">
        <w:rPr>
          <w:color w:val="auto"/>
          <w:sz w:val="28"/>
          <w:szCs w:val="28"/>
        </w:rPr>
        <w:t xml:space="preserve"> Сторожевско-Хуторской </w:t>
      </w:r>
      <w:r w:rsidR="00D85081" w:rsidRPr="007E52A7">
        <w:rPr>
          <w:color w:val="auto"/>
          <w:sz w:val="28"/>
          <w:szCs w:val="28"/>
        </w:rPr>
        <w:t>с</w:t>
      </w:r>
      <w:r w:rsidR="00CF3504">
        <w:rPr>
          <w:color w:val="auto"/>
          <w:sz w:val="28"/>
          <w:szCs w:val="28"/>
        </w:rPr>
        <w:t>ельсовет 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CF3504">
        <w:rPr>
          <w:color w:val="auto"/>
          <w:sz w:val="28"/>
          <w:szCs w:val="28"/>
        </w:rPr>
        <w:t xml:space="preserve"> </w:t>
      </w:r>
      <w:r w:rsidR="00CF3504" w:rsidRPr="00CF3504">
        <w:rPr>
          <w:color w:val="auto"/>
          <w:sz w:val="28"/>
          <w:szCs w:val="28"/>
        </w:rPr>
        <w:t xml:space="preserve">18.05.2020 г. № 82/146 </w:t>
      </w:r>
      <w:r w:rsidR="00CF3504">
        <w:rPr>
          <w:color w:val="auto"/>
          <w:sz w:val="28"/>
          <w:szCs w:val="28"/>
        </w:rPr>
        <w:t>следующие</w:t>
      </w:r>
      <w:r w:rsidRPr="007E52A7">
        <w:rPr>
          <w:color w:val="auto"/>
          <w:sz w:val="28"/>
          <w:szCs w:val="28"/>
        </w:rPr>
        <w:t xml:space="preserve">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CF3504">
        <w:rPr>
          <w:rFonts w:eastAsia="Calibri"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 w:rsidRPr="00CF3504">
        <w:rPr>
          <w:rFonts w:eastAsia="Calibri"/>
          <w:color w:val="auto"/>
          <w:spacing w:val="0"/>
          <w:sz w:val="28"/>
          <w:szCs w:val="28"/>
        </w:rPr>
        <w:t>,</w:t>
      </w:r>
      <w:r w:rsidRPr="00CF3504">
        <w:rPr>
          <w:rFonts w:eastAsia="Calibri"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CF3504">
        <w:rPr>
          <w:rFonts w:eastAsia="Calibri"/>
          <w:color w:val="auto"/>
          <w:spacing w:val="0"/>
          <w:sz w:val="28"/>
          <w:szCs w:val="28"/>
        </w:rPr>
        <w:t xml:space="preserve"> 357-ОЗ «О перераспределении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CF3504">
        <w:rPr>
          <w:rFonts w:eastAsia="Calibri"/>
          <w:color w:val="auto"/>
          <w:spacing w:val="0"/>
          <w:sz w:val="28"/>
          <w:szCs w:val="28"/>
        </w:rPr>
        <w:t xml:space="preserve">избирательную комиссию, 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CF3504">
        <w:rPr>
          <w:color w:val="auto"/>
          <w:spacing w:val="0"/>
          <w:sz w:val="28"/>
          <w:szCs w:val="28"/>
        </w:rPr>
        <w:t>.</w:t>
      </w:r>
      <w:r w:rsidRPr="00CF3504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Назначенный судом местный референдум организуется </w:t>
      </w:r>
      <w:r w:rsidRPr="00CF3504">
        <w:rPr>
          <w:rFonts w:eastAsia="Calibri"/>
          <w:color w:val="auto"/>
          <w:spacing w:val="0"/>
          <w:sz w:val="28"/>
          <w:szCs w:val="28"/>
        </w:rPr>
        <w:t xml:space="preserve">избирательной комиссией, 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ей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CF3504">
        <w:rPr>
          <w:color w:val="auto"/>
          <w:spacing w:val="0"/>
          <w:sz w:val="28"/>
          <w:szCs w:val="28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CF3504">
        <w:rPr>
          <w:rFonts w:eastAsia="Calibri"/>
          <w:color w:val="auto"/>
          <w:spacing w:val="0"/>
          <w:sz w:val="28"/>
          <w:szCs w:val="28"/>
        </w:rPr>
        <w:t xml:space="preserve">избирательной комиссией, </w:t>
      </w:r>
      <w:r w:rsidR="00A5669E"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 w:rsidRPr="00CF3504">
        <w:rPr>
          <w:rFonts w:eastAsia="Calibri"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CF3504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CF35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CF3504">
        <w:rPr>
          <w:rFonts w:ascii="Times New Roman" w:hAnsi="Times New Roman" w:cs="Times New Roman"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CF3504">
        <w:rPr>
          <w:rFonts w:ascii="Times New Roman" w:hAnsi="Times New Roman" w:cs="Times New Roman"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CF3504">
        <w:rPr>
          <w:color w:val="auto"/>
          <w:sz w:val="28"/>
          <w:szCs w:val="28"/>
          <w:shd w:val="clear" w:color="auto" w:fill="FFFFFF"/>
        </w:rPr>
        <w:t xml:space="preserve"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</w:t>
      </w:r>
      <w:r w:rsidRPr="007E52A7">
        <w:rPr>
          <w:color w:val="auto"/>
          <w:sz w:val="28"/>
          <w:szCs w:val="28"/>
          <w:shd w:val="clear" w:color="auto" w:fill="FFFFFF"/>
        </w:rPr>
        <w:t>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CF3504">
        <w:rPr>
          <w:color w:val="auto"/>
          <w:sz w:val="28"/>
          <w:szCs w:val="28"/>
        </w:rPr>
        <w:t>13.1</w:t>
      </w:r>
      <w:r w:rsidR="00FE2B49" w:rsidRPr="00CF3504">
        <w:rPr>
          <w:color w:val="auto"/>
          <w:sz w:val="28"/>
          <w:szCs w:val="28"/>
        </w:rPr>
        <w:t>.</w:t>
      </w:r>
      <w:r w:rsidRPr="00CF3504">
        <w:rPr>
          <w:color w:val="auto"/>
          <w:sz w:val="28"/>
          <w:szCs w:val="28"/>
        </w:rPr>
        <w:t xml:space="preserve"> </w:t>
      </w:r>
      <w:r w:rsidRPr="00CF3504">
        <w:rPr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CF3504">
        <w:rPr>
          <w:color w:val="auto"/>
          <w:sz w:val="28"/>
          <w:szCs w:val="28"/>
        </w:rPr>
        <w:t>Совета депутатов сельского поселения</w:t>
      </w:r>
      <w:r w:rsidRPr="00CF3504">
        <w:rPr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CF3504">
        <w:rPr>
          <w:color w:val="auto"/>
          <w:sz w:val="28"/>
          <w:szCs w:val="28"/>
        </w:rPr>
        <w:t>Совета депутатов сельского поселения</w:t>
      </w:r>
      <w:r w:rsidRPr="00CF3504">
        <w:rPr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CF3504">
        <w:rPr>
          <w:color w:val="auto"/>
          <w:sz w:val="28"/>
          <w:szCs w:val="28"/>
        </w:rPr>
        <w:t>Совета депутатов сельского поселения</w:t>
      </w:r>
      <w:r w:rsidRPr="00CF3504">
        <w:rPr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lastRenderedPageBreak/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CF3504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Сторожевско-Хуторской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CF3504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____________     </w:t>
      </w:r>
      <w:r w:rsidR="000F721D">
        <w:rPr>
          <w:color w:val="auto"/>
          <w:sz w:val="28"/>
          <w:szCs w:val="28"/>
        </w:rPr>
        <w:t xml:space="preserve">          </w:t>
      </w:r>
      <w:r w:rsidR="007E52A7" w:rsidRPr="007E52A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Г.М. Терновых</w:t>
      </w:r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  <w:r w:rsidRPr="007E52A7">
        <w:rPr>
          <w:color w:val="auto"/>
          <w:sz w:val="28"/>
          <w:szCs w:val="28"/>
        </w:rPr>
        <w:t>(подпись)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p w:rsidR="00551EA9" w:rsidRPr="003C3358" w:rsidRDefault="00551EA9" w:rsidP="00CF3504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aps/>
          <w:color w:val="auto"/>
          <w:spacing w:val="0"/>
          <w:sz w:val="28"/>
          <w:szCs w:val="28"/>
        </w:rPr>
      </w:pPr>
      <w:r w:rsidRPr="003C3358">
        <w:rPr>
          <w:caps/>
          <w:color w:val="auto"/>
          <w:spacing w:val="0"/>
          <w:sz w:val="28"/>
          <w:szCs w:val="28"/>
        </w:rPr>
        <w:t xml:space="preserve">М.П.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p w:rsidR="002D4EB9" w:rsidRPr="002D4EB9" w:rsidRDefault="002D4EB9" w:rsidP="0048735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color w:val="auto"/>
          <w:sz w:val="28"/>
          <w:szCs w:val="28"/>
        </w:rPr>
      </w:pPr>
    </w:p>
    <w:sectPr w:rsidR="002D4EB9" w:rsidRP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A7" w:rsidRDefault="005009A7">
      <w:r>
        <w:separator/>
      </w:r>
    </w:p>
  </w:endnote>
  <w:endnote w:type="continuationSeparator" w:id="0">
    <w:p w:rsidR="005009A7" w:rsidRDefault="0050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A7" w:rsidRDefault="005009A7"/>
  </w:footnote>
  <w:footnote w:type="continuationSeparator" w:id="0">
    <w:p w:rsidR="005009A7" w:rsidRDefault="005009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5009A7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5009A7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6E3A"/>
    <w:rsid w:val="00242EDB"/>
    <w:rsid w:val="00244132"/>
    <w:rsid w:val="00292B69"/>
    <w:rsid w:val="002A49DE"/>
    <w:rsid w:val="002B16C0"/>
    <w:rsid w:val="002B2A59"/>
    <w:rsid w:val="002D0CCF"/>
    <w:rsid w:val="002D4EB9"/>
    <w:rsid w:val="00305852"/>
    <w:rsid w:val="00314893"/>
    <w:rsid w:val="00334568"/>
    <w:rsid w:val="0039124C"/>
    <w:rsid w:val="003A471C"/>
    <w:rsid w:val="003B257A"/>
    <w:rsid w:val="003C3358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09A7"/>
    <w:rsid w:val="005014F5"/>
    <w:rsid w:val="00513ED6"/>
    <w:rsid w:val="005453A3"/>
    <w:rsid w:val="00551EA9"/>
    <w:rsid w:val="00553ACB"/>
    <w:rsid w:val="005623EE"/>
    <w:rsid w:val="0057080C"/>
    <w:rsid w:val="00571B2A"/>
    <w:rsid w:val="005A3FC7"/>
    <w:rsid w:val="005B7E54"/>
    <w:rsid w:val="005C2A9E"/>
    <w:rsid w:val="00603C69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3504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1951"/>
    <w:rsid w:val="00E171A3"/>
    <w:rsid w:val="00E17857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A7B68-E16F-4EFD-9C11-21480AA2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2023-05-03T12:38:00Z</cp:lastPrinted>
  <dcterms:created xsi:type="dcterms:W3CDTF">2023-06-20T13:30:00Z</dcterms:created>
  <dcterms:modified xsi:type="dcterms:W3CDTF">2023-06-20T13:30:00Z</dcterms:modified>
</cp:coreProperties>
</file>